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5" w:afterAutospacing="0" w:line="10" w:lineRule="atLeast"/>
        <w:ind w:left="0" w:right="0"/>
        <w:rPr>
          <w:sz w:val="16"/>
          <w:szCs w:val="16"/>
        </w:rPr>
      </w:pPr>
      <w:r>
        <w:rPr>
          <w:sz w:val="16"/>
          <w:szCs w:val="16"/>
          <w:bdr w:val="none" w:color="auto" w:sz="0" w:space="0"/>
        </w:rPr>
        <w:t>我院承办2023年浙江省职业院校技能大赛高职组“企业经营沙盘模拟”赛项并获两项一等奖晋级国赛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5" w:afterAutospacing="0" w:line="150" w:lineRule="atLeast"/>
        <w:ind w:left="0" w:right="0"/>
        <w:jc w:val="left"/>
        <w:rPr>
          <w:sz w:val="0"/>
          <w:szCs w:val="0"/>
        </w:rPr>
      </w:pPr>
      <w:r>
        <w:rPr>
          <w:rFonts w:ascii="宋体" w:hAnsi="宋体" w:eastAsia="宋体" w:cs="宋体"/>
          <w:kern w:val="0"/>
          <w:sz w:val="11"/>
          <w:szCs w:val="11"/>
          <w:bdr w:val="none" w:color="auto" w:sz="0" w:space="0"/>
          <w:lang w:val="en-US" w:eastAsia="zh-CN" w:bidi="ar"/>
        </w:rPr>
        <w:t>财会金融学院</w:t>
      </w:r>
      <w:r>
        <w:rPr>
          <w:rFonts w:ascii="宋体" w:hAnsi="宋体" w:eastAsia="宋体" w:cs="宋体"/>
          <w:kern w:val="0"/>
          <w:sz w:val="0"/>
          <w:szCs w:val="0"/>
          <w:bdr w:val="none" w:color="auto" w:sz="0" w:space="0"/>
          <w:lang w:val="en-US" w:eastAsia="zh-CN" w:bidi="ar"/>
        </w:rPr>
        <w:t> </w:t>
      </w:r>
      <w:r>
        <w:rPr>
          <w:rFonts w:ascii="宋体" w:hAnsi="宋体" w:eastAsia="宋体" w:cs="宋体"/>
          <w:kern w:val="0"/>
          <w:sz w:val="11"/>
          <w:szCs w:val="1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kern w:val="0"/>
          <w:sz w:val="11"/>
          <w:szCs w:val="11"/>
          <w:u w:val="none"/>
          <w:bdr w:val="none" w:color="auto" w:sz="0" w:space="0"/>
          <w:lang w:val="en-US" w:eastAsia="zh-CN" w:bidi="ar"/>
        </w:rPr>
        <w:instrText xml:space="preserve"> HYPERLINK "javascript:void(0);" </w:instrText>
      </w:r>
      <w:r>
        <w:rPr>
          <w:rFonts w:ascii="宋体" w:hAnsi="宋体" w:eastAsia="宋体" w:cs="宋体"/>
          <w:kern w:val="0"/>
          <w:sz w:val="11"/>
          <w:szCs w:val="1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7"/>
          <w:rFonts w:ascii="宋体" w:hAnsi="宋体" w:eastAsia="宋体" w:cs="宋体"/>
          <w:sz w:val="11"/>
          <w:szCs w:val="11"/>
          <w:u w:val="none"/>
          <w:bdr w:val="none" w:color="auto" w:sz="0" w:space="0"/>
        </w:rPr>
        <w:t>红荷微站</w:t>
      </w:r>
      <w:r>
        <w:rPr>
          <w:rFonts w:ascii="宋体" w:hAnsi="宋体" w:eastAsia="宋体" w:cs="宋体"/>
          <w:kern w:val="0"/>
          <w:sz w:val="11"/>
          <w:szCs w:val="11"/>
          <w:u w:val="none"/>
          <w:bdr w:val="none" w:color="auto" w:sz="0" w:space="0"/>
          <w:lang w:val="en-US" w:eastAsia="zh-CN" w:bidi="ar"/>
        </w:rPr>
        <w:fldChar w:fldCharType="end"/>
      </w:r>
      <w:r>
        <w:rPr>
          <w:rFonts w:ascii="宋体" w:hAnsi="宋体" w:eastAsia="宋体" w:cs="宋体"/>
          <w:kern w:val="0"/>
          <w:sz w:val="0"/>
          <w:szCs w:val="0"/>
          <w:bdr w:val="none" w:color="auto" w:sz="0" w:space="0"/>
          <w:lang w:val="en-US" w:eastAsia="zh-CN" w:bidi="ar"/>
        </w:rPr>
        <w:t> </w:t>
      </w:r>
      <w:r>
        <w:rPr>
          <w:rStyle w:val="6"/>
          <w:rFonts w:ascii="宋体" w:hAnsi="宋体" w:eastAsia="宋体" w:cs="宋体"/>
          <w:i w:val="0"/>
          <w:iCs w:val="0"/>
          <w:kern w:val="0"/>
          <w:sz w:val="11"/>
          <w:szCs w:val="11"/>
          <w:bdr w:val="none" w:color="auto" w:sz="0" w:space="0"/>
          <w:lang w:val="en-US" w:eastAsia="zh-CN" w:bidi="ar"/>
        </w:rPr>
        <w:t>2023-07-02 12:21</w:t>
      </w:r>
      <w:r>
        <w:rPr>
          <w:rFonts w:ascii="宋体" w:hAnsi="宋体" w:eastAsia="宋体" w:cs="宋体"/>
          <w:kern w:val="0"/>
          <w:sz w:val="0"/>
          <w:szCs w:val="0"/>
          <w:bdr w:val="none" w:color="auto" w:sz="0" w:space="0"/>
          <w:lang w:val="en-US" w:eastAsia="zh-CN" w:bidi="ar"/>
        </w:rPr>
        <w:t> </w:t>
      </w:r>
      <w:r>
        <w:rPr>
          <w:rStyle w:val="6"/>
          <w:rFonts w:ascii="宋体" w:hAnsi="宋体" w:eastAsia="宋体" w:cs="宋体"/>
          <w:i w:val="0"/>
          <w:iCs w:val="0"/>
          <w:kern w:val="0"/>
          <w:sz w:val="11"/>
          <w:szCs w:val="11"/>
          <w:bdr w:val="none" w:color="auto" w:sz="0" w:space="0"/>
          <w:lang w:val="en-US" w:eastAsia="zh-CN" w:bidi="ar"/>
        </w:rPr>
        <w:t>浙江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bdr w:val="none" w:color="auto" w:sz="0" w:space="0"/>
        </w:rPr>
        <w:t>我院承办2023年浙江省职业院校技能大赛高职组“企业经营沙盘模拟”赛项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Style w:val="6"/>
          <w:i/>
          <w:iCs/>
          <w:bdr w:val="none" w:color="auto" w:sz="0" w:space="0"/>
        </w:rPr>
        <w:t>EDUCATION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50"/>
        <w:jc w:val="both"/>
      </w:pPr>
      <w:r>
        <w:rPr>
          <w:bdr w:val="none" w:color="auto" w:sz="0" w:space="0"/>
        </w:rPr>
        <w:t>近日，2023年浙江省职业院校技能大赛高职组“企业经营沙盘模拟”赛项在我校信息科学楼成功举行。本次大赛由浙江省教育厅主办，浙江经济职业技术学院财会金融学院承办，新道科技股份有限公司协办。大赛吸引浙江省内35所高职院校67支队伍，共266名选手参赛，比赛现场如火如荼，竞争激烈。经过10多个小时的激烈角逐，财会金融学院黄晓莉、赵婕老师指导的两队学生（华梦甜、余婷、刘玲、沈心蕊；余晰锴、俞澄露、王槿汐、楼鑫晨）脱颖而出，荣获一等奖两项，并顺利晋级国赛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bookmarkStart w:id="0" w:name="_GoBack"/>
      <w:bookmarkEnd w:id="0"/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276850" cy="3381375"/>
            <wp:effectExtent l="0" t="0" r="0" b="0"/>
            <wp:docPr id="2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3381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276850" cy="5276850"/>
            <wp:effectExtent l="0" t="0" r="0" b="0"/>
            <wp:docPr id="1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5276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48"/>
        <w:jc w:val="both"/>
      </w:pPr>
      <w:r>
        <w:rPr>
          <w:bdr w:val="none" w:color="auto" w:sz="0" w:space="0"/>
        </w:rPr>
        <w:t>本次大赛严格参照国赛要求和流程，设裁判组与仲裁组，负责组织参赛队伍（选手）抽签并对参赛队伍（选手）的信息进行加密、解密；维护赛场纪律，按操作规范做好赛场记录；对参赛队伍按赛项评分标准进行评定成绩与裁定、申诉事项处理等。大赛采用“数智企业经营管理沙盘”，该系统在整合传统ERP沙盘构建思路与实操经验的基础上，融入了数智化场景设计，顺应数智化人才培养需求，还原真实企业经营场景，打造沉浸式交互体验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48"/>
        <w:jc w:val="both"/>
      </w:pPr>
      <w:r>
        <w:rPr>
          <w:bdr w:val="none" w:color="auto" w:sz="0" w:space="0"/>
        </w:rPr>
        <w:t>本次大赛让参赛选手全面体验了企业经营的模式和流程，推动了学生实践能力和创新能力的提升，并有效推动了院校实践教学水平提升和创新型人才培养。持续把最前沿的数智企业案例和技术融入到校园教学中，提升高等院校人才培养质量，推动教育高质量发展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48"/>
        <w:jc w:val="both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48"/>
        <w:jc w:val="both"/>
      </w:pPr>
      <w:r>
        <w:rPr>
          <w:bdr w:val="none" w:color="auto" w:sz="0" w:space="0"/>
        </w:rPr>
        <w:t>                            供稿：谢瑶华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yODEzOTFlZmUxOTljYmM1YzU4ZGVmMTRiM2UxY2MifQ=="/>
  </w:docVars>
  <w:rsids>
    <w:rsidRoot w:val="00000000"/>
    <w:rsid w:val="2B926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Emphasis"/>
    <w:basedOn w:val="5"/>
    <w:qFormat/>
    <w:uiPriority w:val="0"/>
    <w:rPr>
      <w:i/>
    </w:rPr>
  </w:style>
  <w:style w:type="character" w:styleId="7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2024-05-12T09:38:51Z</dcterms:created>
  <dc:creator>18391</dc:creator>
  <cp:lastModifiedBy>WPS_1640148754</cp:lastModifiedBy>
  <dcterms:modified xsi:type="dcterms:W3CDTF">2024-05-12T09:40:17Z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9DE583985C284F309905AD25749997B5_12</vt:lpwstr>
  </property>
</Properties>
</file>